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1E7" w:rsidRDefault="009041E7" w:rsidP="00107DC3">
      <w:pPr>
        <w:spacing w:before="0" w:after="0" w:line="240" w:lineRule="auto"/>
      </w:pPr>
      <w:bookmarkStart w:id="0" w:name="_GoBack"/>
      <w:bookmarkEnd w:id="0"/>
    </w:p>
    <w:p w:rsidR="009041E7" w:rsidRPr="003A38E8" w:rsidRDefault="009041E7" w:rsidP="00BB3E3E">
      <w:pPr>
        <w:spacing w:after="120" w:line="240" w:lineRule="auto"/>
      </w:pPr>
      <w:r w:rsidRPr="003A38E8">
        <w:t>Este</w:t>
      </w:r>
      <w:r w:rsidRPr="00105C18">
        <w:t xml:space="preserve"> Anexo</w:t>
      </w:r>
      <w:r w:rsidRPr="003A38E8">
        <w:t xml:space="preserve"> aporta datos genéricos que pueden ser útiles dura</w:t>
      </w:r>
      <w:r>
        <w:t>nte la asignación de SIL con grá</w:t>
      </w:r>
      <w:r w:rsidRPr="003A38E8">
        <w:t>fic</w:t>
      </w:r>
      <w:r>
        <w:t>o</w:t>
      </w:r>
      <w:r w:rsidRPr="003A38E8">
        <w:t>s de riesgos</w:t>
      </w:r>
      <w:r w:rsidRPr="00607BA1">
        <w:t>:</w:t>
      </w:r>
    </w:p>
    <w:p w:rsidR="009041E7" w:rsidRPr="003A38E8" w:rsidRDefault="009041E7" w:rsidP="005D19E2">
      <w:pPr>
        <w:numPr>
          <w:ilvl w:val="0"/>
          <w:numId w:val="9"/>
        </w:numPr>
        <w:tabs>
          <w:tab w:val="clear" w:pos="1287"/>
          <w:tab w:val="num" w:pos="720"/>
        </w:tabs>
        <w:spacing w:before="0" w:after="120" w:line="240" w:lineRule="auto"/>
        <w:ind w:left="714" w:hanging="357"/>
      </w:pPr>
      <w:r>
        <w:t>F</w:t>
      </w:r>
      <w:r w:rsidRPr="003A38E8">
        <w:t xml:space="preserve">recuencia y W </w:t>
      </w:r>
      <w:r>
        <w:t xml:space="preserve">típica </w:t>
      </w:r>
      <w:r w:rsidRPr="003A38E8">
        <w:t xml:space="preserve">de </w:t>
      </w:r>
      <w:r>
        <w:t>evento</w:t>
      </w:r>
      <w:r w:rsidRPr="003A38E8">
        <w:t>s iniciadores</w:t>
      </w:r>
      <w:r>
        <w:t>.</w:t>
      </w:r>
    </w:p>
    <w:p w:rsidR="009041E7" w:rsidRPr="003A38E8" w:rsidRDefault="009041E7" w:rsidP="00107DC3">
      <w:pPr>
        <w:numPr>
          <w:ilvl w:val="0"/>
          <w:numId w:val="9"/>
        </w:numPr>
        <w:tabs>
          <w:tab w:val="clear" w:pos="1287"/>
          <w:tab w:val="num" w:pos="720"/>
        </w:tabs>
        <w:spacing w:before="0" w:after="0" w:line="240" w:lineRule="auto"/>
        <w:ind w:left="720"/>
      </w:pPr>
      <w:r>
        <w:t>P</w:t>
      </w:r>
      <w:r w:rsidRPr="003A38E8">
        <w:t xml:space="preserve">robabilidad de fallo y créditos IPL de capas de protección independiente típicas. </w:t>
      </w:r>
    </w:p>
    <w:p w:rsidR="009041E7" w:rsidRDefault="009041E7" w:rsidP="00107DC3">
      <w:pPr>
        <w:spacing w:before="0" w:after="0" w:line="240" w:lineRule="auto"/>
        <w:jc w:val="center"/>
      </w:pPr>
    </w:p>
    <w:tbl>
      <w:tblPr>
        <w:tblW w:w="9354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6520"/>
        <w:gridCol w:w="1417"/>
        <w:gridCol w:w="1417"/>
      </w:tblGrid>
      <w:tr w:rsidR="009041E7" w:rsidRPr="00BB3E3E" w:rsidTr="00F403B2">
        <w:trPr>
          <w:trHeight w:val="425"/>
          <w:jc w:val="center"/>
        </w:trPr>
        <w:tc>
          <w:tcPr>
            <w:tcW w:w="9354" w:type="dxa"/>
            <w:gridSpan w:val="3"/>
            <w:shd w:val="clear" w:color="auto" w:fill="000080"/>
            <w:vAlign w:val="center"/>
          </w:tcPr>
          <w:p w:rsidR="009041E7" w:rsidRPr="00BB3E3E" w:rsidRDefault="009041E7" w:rsidP="003153FE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 w:rsidRPr="00BB3E3E">
              <w:rPr>
                <w:b/>
                <w:bCs/>
                <w:color w:val="FFFFFF"/>
                <w:sz w:val="20"/>
                <w:szCs w:val="20"/>
                <w:lang w:val="es-ES_tradnl"/>
              </w:rPr>
              <w:t>Tabla C1: Eventos iniciadores típicos</w:t>
            </w:r>
          </w:p>
        </w:tc>
      </w:tr>
      <w:tr w:rsidR="009041E7" w:rsidRPr="00BB3E3E" w:rsidTr="00F403B2">
        <w:trPr>
          <w:trHeight w:val="196"/>
          <w:jc w:val="center"/>
        </w:trPr>
        <w:tc>
          <w:tcPr>
            <w:tcW w:w="6520" w:type="dxa"/>
            <w:shd w:val="clear" w:color="auto" w:fill="E6E6E6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ind w:left="18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BB3E3E">
              <w:rPr>
                <w:b/>
                <w:bCs/>
                <w:color w:val="00008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1417" w:type="dxa"/>
            <w:shd w:val="clear" w:color="auto" w:fill="E6E6E6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ind w:left="35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BB3E3E">
              <w:rPr>
                <w:b/>
                <w:bCs/>
                <w:color w:val="000080"/>
                <w:sz w:val="20"/>
                <w:szCs w:val="20"/>
                <w:lang w:val="es-ES_tradnl"/>
              </w:rPr>
              <w:t>Frecuencia (1/año)</w:t>
            </w:r>
          </w:p>
        </w:tc>
        <w:tc>
          <w:tcPr>
            <w:tcW w:w="1417" w:type="dxa"/>
            <w:shd w:val="clear" w:color="auto" w:fill="E6E6E6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bCs/>
                <w:color w:val="000080"/>
                <w:sz w:val="20"/>
                <w:szCs w:val="20"/>
                <w:lang w:val="es-ES_tradnl"/>
              </w:rPr>
            </w:pPr>
            <w:r w:rsidRPr="00BB3E3E">
              <w:rPr>
                <w:b/>
                <w:bCs/>
                <w:color w:val="000080"/>
                <w:sz w:val="20"/>
                <w:szCs w:val="20"/>
                <w:lang w:val="es-ES_tradnl"/>
              </w:rPr>
              <w:t>W típica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Fuego externo pequeño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W2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Fuego externo grande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W1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Fallo eléctrico parcial</w:t>
            </w:r>
          </w:p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(se supone un diseño adecuado del suministro eléctrico)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W3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Fallo eléctrico general</w:t>
            </w:r>
          </w:p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(se supone un diseño adecuado del suministro eléctrico)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W2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Fallo de agua de refrigeración</w:t>
            </w:r>
          </w:p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(se supone un diseño adecuado del suministro de agua de refrigeración)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W3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Paro de bomba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W3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Paro de bomba y fallo del arranque automático de bomba de reserva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W3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Fallo en sello de bomba 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W2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20"/>
                <w:szCs w:val="20"/>
                <w:lang w:val="es-ES_tradnl"/>
              </w:rPr>
            </w:pPr>
            <w:r w:rsidRPr="00BB3E3E">
              <w:rPr>
                <w:sz w:val="20"/>
                <w:szCs w:val="20"/>
                <w:lang w:val="es-ES_tradnl"/>
              </w:rPr>
              <w:t xml:space="preserve">Caída de rayo 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W1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Fallo de un aerorefrigerante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W2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Rotura de un tubo en intercambiador 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5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W3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Fallo lazo de control /BPCS</w:t>
            </w:r>
            <w:r w:rsidRPr="00BB3E3E">
              <w:rPr>
                <w:rStyle w:val="Refdenotaalpie"/>
                <w:rFonts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1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W2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Fallo espurio de válvula (CV o XV):</w:t>
            </w:r>
          </w:p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(fallo abierto de válvula FO o fallo cerrado de válvula FC) 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 xml:space="preserve">2 </w:t>
            </w:r>
            <w:r w:rsidRPr="00BB3E3E">
              <w:rPr>
                <w:sz w:val="20"/>
                <w:szCs w:val="20"/>
              </w:rPr>
              <w:sym w:font="Symbol" w:char="F0B4"/>
            </w:r>
            <w:r w:rsidRPr="00BB3E3E">
              <w:rPr>
                <w:sz w:val="20"/>
                <w:szCs w:val="20"/>
              </w:rPr>
              <w:t xml:space="preserve"> 10</w:t>
            </w:r>
            <w:r w:rsidRPr="00BB3E3E">
              <w:rPr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>W2</w:t>
            </w:r>
          </w:p>
        </w:tc>
      </w:tr>
      <w:tr w:rsidR="009041E7" w:rsidRPr="00BB3E3E" w:rsidTr="00F403B2">
        <w:trPr>
          <w:trHeight w:val="193"/>
          <w:jc w:val="center"/>
        </w:trPr>
        <w:tc>
          <w:tcPr>
            <w:tcW w:w="6520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BB3E3E">
              <w:rPr>
                <w:sz w:val="20"/>
                <w:szCs w:val="20"/>
              </w:rPr>
              <w:t>Error humano</w:t>
            </w:r>
          </w:p>
        </w:tc>
        <w:tc>
          <w:tcPr>
            <w:tcW w:w="1417" w:type="dxa"/>
            <w:vAlign w:val="center"/>
          </w:tcPr>
          <w:p w:rsidR="009041E7" w:rsidRPr="00F403B2" w:rsidRDefault="009041E7" w:rsidP="00BB3E3E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F403B2">
              <w:rPr>
                <w:sz w:val="16"/>
                <w:szCs w:val="16"/>
              </w:rPr>
              <w:t>Ver tabla C2 y</w:t>
            </w:r>
            <w:r>
              <w:rPr>
                <w:sz w:val="16"/>
                <w:szCs w:val="16"/>
              </w:rPr>
              <w:t xml:space="preserve"> aclar</w:t>
            </w:r>
            <w:r w:rsidRPr="00F403B2">
              <w:rPr>
                <w:sz w:val="16"/>
                <w:szCs w:val="16"/>
              </w:rPr>
              <w:t>aciones a continuación</w:t>
            </w:r>
          </w:p>
        </w:tc>
        <w:tc>
          <w:tcPr>
            <w:tcW w:w="1417" w:type="dxa"/>
            <w:vAlign w:val="center"/>
          </w:tcPr>
          <w:p w:rsidR="009041E7" w:rsidRPr="00BB3E3E" w:rsidRDefault="009041E7" w:rsidP="00BB3E3E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BB3E3E">
              <w:rPr>
                <w:b/>
                <w:sz w:val="20"/>
                <w:szCs w:val="20"/>
              </w:rPr>
              <w:t xml:space="preserve">W3 </w:t>
            </w:r>
            <w:r w:rsidRPr="00BB3E3E">
              <w:rPr>
                <w:sz w:val="20"/>
                <w:szCs w:val="20"/>
              </w:rPr>
              <w:t>o</w:t>
            </w:r>
            <w:r w:rsidRPr="00BB3E3E">
              <w:rPr>
                <w:b/>
                <w:sz w:val="20"/>
                <w:szCs w:val="20"/>
              </w:rPr>
              <w:t xml:space="preserve"> W2</w:t>
            </w:r>
          </w:p>
        </w:tc>
      </w:tr>
    </w:tbl>
    <w:p w:rsidR="009041E7" w:rsidRDefault="009041E7" w:rsidP="00107DC3">
      <w:pPr>
        <w:spacing w:before="0" w:after="0" w:line="240" w:lineRule="auto"/>
        <w:rPr>
          <w:szCs w:val="20"/>
        </w:rPr>
      </w:pPr>
    </w:p>
    <w:p w:rsidR="009041E7" w:rsidRDefault="009041E7">
      <w:pPr>
        <w:spacing w:before="0" w:after="0" w:line="240" w:lineRule="auto"/>
        <w:jc w:val="left"/>
        <w:rPr>
          <w:szCs w:val="20"/>
        </w:rPr>
      </w:pPr>
      <w:r>
        <w:rPr>
          <w:szCs w:val="20"/>
        </w:rPr>
        <w:br w:type="page"/>
      </w:r>
    </w:p>
    <w:tbl>
      <w:tblPr>
        <w:tblW w:w="9299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494"/>
        <w:gridCol w:w="1701"/>
        <w:gridCol w:w="1701"/>
        <w:gridCol w:w="1702"/>
        <w:gridCol w:w="1701"/>
      </w:tblGrid>
      <w:tr w:rsidR="009041E7" w:rsidRPr="00EB7A97" w:rsidTr="00EB7A97">
        <w:trPr>
          <w:trHeight w:val="425"/>
          <w:jc w:val="center"/>
        </w:trPr>
        <w:tc>
          <w:tcPr>
            <w:tcW w:w="9299" w:type="dxa"/>
            <w:gridSpan w:val="5"/>
            <w:shd w:val="clear" w:color="auto" w:fill="000080"/>
            <w:vAlign w:val="center"/>
          </w:tcPr>
          <w:p w:rsidR="009041E7" w:rsidRPr="00EB7A97" w:rsidRDefault="009041E7" w:rsidP="00A70485">
            <w:pPr>
              <w:spacing w:before="0"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  <w:lang w:val="es-ES_tradnl"/>
              </w:rPr>
            </w:pPr>
            <w:r w:rsidRPr="00EB7A97">
              <w:rPr>
                <w:b/>
                <w:bCs/>
                <w:color w:val="FFFFFF"/>
                <w:sz w:val="20"/>
                <w:szCs w:val="20"/>
                <w:lang w:val="es-ES_tradnl"/>
              </w:rPr>
              <w:lastRenderedPageBreak/>
              <w:t>Tabla C2: Probabilidad de error humano en cada intervención</w:t>
            </w:r>
          </w:p>
        </w:tc>
      </w:tr>
      <w:tr w:rsidR="009041E7" w:rsidRPr="00EB7A97" w:rsidTr="00EB7A97">
        <w:trPr>
          <w:trHeight w:val="196"/>
          <w:jc w:val="center"/>
        </w:trPr>
        <w:tc>
          <w:tcPr>
            <w:tcW w:w="2494" w:type="dxa"/>
            <w:shd w:val="clear" w:color="auto" w:fill="E6E6E6"/>
            <w:vAlign w:val="center"/>
          </w:tcPr>
          <w:p w:rsidR="009041E7" w:rsidRPr="00EB7A97" w:rsidRDefault="009041E7" w:rsidP="00EB7A97">
            <w:pPr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Complejidad /</w:t>
            </w:r>
          </w:p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Nivel de estrés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Muy simple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Simple y rutinaria</w:t>
            </w:r>
          </w:p>
        </w:tc>
        <w:tc>
          <w:tcPr>
            <w:tcW w:w="1702" w:type="dxa"/>
            <w:shd w:val="clear" w:color="auto" w:fill="E6E6E6"/>
            <w:vAlign w:val="center"/>
          </w:tcPr>
          <w:p w:rsidR="009041E7" w:rsidRPr="00EB7A97" w:rsidRDefault="009041E7" w:rsidP="00EB7A97">
            <w:pPr>
              <w:spacing w:before="0" w:after="0" w:line="240" w:lineRule="auto"/>
              <w:ind w:left="-17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 xml:space="preserve">Rutinaria aunque </w:t>
            </w:r>
            <w:r w:rsidRPr="00EB7A97">
              <w:rPr>
                <w:b/>
                <w:sz w:val="20"/>
                <w:szCs w:val="20"/>
                <w:lang w:val="es-ES_tradnl"/>
              </w:rPr>
              <w:t>requiere atención</w:t>
            </w:r>
          </w:p>
        </w:tc>
        <w:tc>
          <w:tcPr>
            <w:tcW w:w="1701" w:type="dxa"/>
            <w:shd w:val="clear" w:color="auto" w:fill="E6E6E6"/>
            <w:vAlign w:val="center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B7A97">
              <w:rPr>
                <w:b/>
                <w:sz w:val="20"/>
                <w:szCs w:val="20"/>
              </w:rPr>
              <w:t>Complicada y no rutinaria</w:t>
            </w:r>
          </w:p>
        </w:tc>
      </w:tr>
      <w:tr w:rsidR="009041E7" w:rsidRPr="00EB7A97" w:rsidTr="00EB7A97">
        <w:trPr>
          <w:trHeight w:val="193"/>
          <w:jc w:val="center"/>
        </w:trPr>
        <w:tc>
          <w:tcPr>
            <w:tcW w:w="2494" w:type="dxa"/>
          </w:tcPr>
          <w:p w:rsidR="009041E7" w:rsidRPr="00EB7A97" w:rsidRDefault="009041E7" w:rsidP="00EB7A9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Sin estrés</w:t>
            </w:r>
          </w:p>
        </w:tc>
        <w:tc>
          <w:tcPr>
            <w:tcW w:w="1701" w:type="dxa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1701" w:type="dxa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702" w:type="dxa"/>
            <w:shd w:val="clear" w:color="auto" w:fill="E6E6E6"/>
          </w:tcPr>
          <w:p w:rsidR="009041E7" w:rsidRPr="00EB7A97" w:rsidRDefault="009041E7" w:rsidP="00EB7A97">
            <w:pPr>
              <w:spacing w:before="0" w:after="0" w:line="240" w:lineRule="auto"/>
              <w:ind w:left="-18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1" w:type="dxa"/>
            <w:shd w:val="clear" w:color="auto" w:fill="E6E6E6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-1</w:t>
            </w:r>
          </w:p>
        </w:tc>
      </w:tr>
      <w:tr w:rsidR="009041E7" w:rsidRPr="00EB7A97" w:rsidTr="00EB7A97">
        <w:trPr>
          <w:trHeight w:val="193"/>
          <w:jc w:val="center"/>
        </w:trPr>
        <w:tc>
          <w:tcPr>
            <w:tcW w:w="2494" w:type="dxa"/>
          </w:tcPr>
          <w:p w:rsidR="009041E7" w:rsidRPr="00EB7A97" w:rsidRDefault="009041E7" w:rsidP="00EB7A9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Estrés moderado</w:t>
            </w:r>
          </w:p>
        </w:tc>
        <w:tc>
          <w:tcPr>
            <w:tcW w:w="1701" w:type="dxa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1701" w:type="dxa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2" w:type="dxa"/>
            <w:shd w:val="clear" w:color="auto" w:fill="E6E6E6"/>
          </w:tcPr>
          <w:p w:rsidR="009041E7" w:rsidRPr="00EB7A97" w:rsidRDefault="009041E7" w:rsidP="00EB7A97">
            <w:pPr>
              <w:spacing w:before="0" w:after="0" w:line="240" w:lineRule="auto"/>
              <w:ind w:left="-18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 xml:space="preserve">5 </w:t>
            </w:r>
            <w:r w:rsidRPr="00EB7A97">
              <w:rPr>
                <w:sz w:val="20"/>
                <w:szCs w:val="20"/>
              </w:rPr>
              <w:sym w:font="Symbol" w:char="F0B4"/>
            </w:r>
            <w:r w:rsidRPr="00EB7A97">
              <w:rPr>
                <w:sz w:val="20"/>
                <w:szCs w:val="20"/>
              </w:rPr>
              <w:t xml:space="preserve"> 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1" w:type="dxa"/>
            <w:shd w:val="clear" w:color="auto" w:fill="E6E6E6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 xml:space="preserve">3 </w:t>
            </w:r>
            <w:r w:rsidRPr="00EB7A97">
              <w:rPr>
                <w:sz w:val="20"/>
                <w:szCs w:val="20"/>
              </w:rPr>
              <w:sym w:font="Symbol" w:char="F0B4"/>
            </w:r>
            <w:r w:rsidRPr="00EB7A97">
              <w:rPr>
                <w:sz w:val="20"/>
                <w:szCs w:val="20"/>
              </w:rPr>
              <w:t xml:space="preserve"> 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-1</w:t>
            </w:r>
          </w:p>
        </w:tc>
      </w:tr>
      <w:tr w:rsidR="009041E7" w:rsidRPr="00EB7A97" w:rsidTr="00EB7A97">
        <w:trPr>
          <w:trHeight w:val="193"/>
          <w:jc w:val="center"/>
        </w:trPr>
        <w:tc>
          <w:tcPr>
            <w:tcW w:w="2494" w:type="dxa"/>
          </w:tcPr>
          <w:p w:rsidR="009041E7" w:rsidRPr="00EB7A97" w:rsidRDefault="009041E7" w:rsidP="00EB7A97">
            <w:pPr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Mucho estrés</w:t>
            </w:r>
          </w:p>
        </w:tc>
        <w:tc>
          <w:tcPr>
            <w:tcW w:w="1701" w:type="dxa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1701" w:type="dxa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10</w:t>
            </w:r>
            <w:r w:rsidRPr="00EB7A97">
              <w:rPr>
                <w:rFonts w:ascii="Helvetica" w:hAnsi="Helvetica" w:cs="Helvetica"/>
                <w:sz w:val="20"/>
                <w:szCs w:val="20"/>
                <w:vertAlign w:val="superscript"/>
              </w:rPr>
              <w:t>-1</w:t>
            </w:r>
            <w:r w:rsidRPr="00EB7A97">
              <w:rPr>
                <w:sz w:val="20"/>
                <w:szCs w:val="20"/>
              </w:rPr>
              <w:t xml:space="preserve"> – 1</w:t>
            </w:r>
          </w:p>
        </w:tc>
        <w:tc>
          <w:tcPr>
            <w:tcW w:w="1702" w:type="dxa"/>
            <w:shd w:val="clear" w:color="auto" w:fill="E6E6E6"/>
          </w:tcPr>
          <w:p w:rsidR="009041E7" w:rsidRPr="00EB7A97" w:rsidRDefault="009041E7" w:rsidP="00EB7A97">
            <w:pPr>
              <w:spacing w:before="0" w:after="0" w:line="240" w:lineRule="auto"/>
              <w:ind w:left="-18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0.25</w:t>
            </w:r>
            <w:r>
              <w:rPr>
                <w:sz w:val="20"/>
                <w:szCs w:val="20"/>
              </w:rPr>
              <w:t xml:space="preserve"> – 1</w:t>
            </w:r>
          </w:p>
        </w:tc>
        <w:tc>
          <w:tcPr>
            <w:tcW w:w="1701" w:type="dxa"/>
            <w:shd w:val="clear" w:color="auto" w:fill="E6E6E6"/>
          </w:tcPr>
          <w:p w:rsidR="009041E7" w:rsidRPr="00EB7A97" w:rsidRDefault="009041E7" w:rsidP="00EB7A9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B7A97">
              <w:rPr>
                <w:sz w:val="20"/>
                <w:szCs w:val="20"/>
              </w:rPr>
              <w:t>1</w:t>
            </w:r>
          </w:p>
        </w:tc>
      </w:tr>
    </w:tbl>
    <w:p w:rsidR="009041E7" w:rsidRDefault="009041E7" w:rsidP="00107DC3">
      <w:pPr>
        <w:spacing w:before="0" w:after="0" w:line="240" w:lineRule="auto"/>
        <w:rPr>
          <w:szCs w:val="20"/>
        </w:rPr>
      </w:pPr>
    </w:p>
    <w:p w:rsidR="009041E7" w:rsidRPr="004E15F6" w:rsidRDefault="009041E7" w:rsidP="004A1FF0">
      <w:pPr>
        <w:spacing w:after="60" w:line="240" w:lineRule="auto"/>
      </w:pPr>
      <w:smartTag w:uri="urn:schemas-microsoft-com:office:smarttags" w:element="PersonName">
        <w:smartTagPr>
          <w:attr w:name="ProductID" w:val="la acci￳n. El"/>
        </w:smartTagPr>
        <w:r w:rsidRPr="003A38E8">
          <w:t xml:space="preserve">La </w:t>
        </w:r>
        <w:r w:rsidRPr="004E15F6">
          <w:rPr>
            <w:b/>
          </w:rPr>
          <w:t>Tabla C</w:t>
        </w:r>
      </w:smartTag>
      <w:r w:rsidRPr="004E15F6">
        <w:rPr>
          <w:b/>
        </w:rPr>
        <w:t>2</w:t>
      </w:r>
      <w:r w:rsidRPr="004E15F6">
        <w:t xml:space="preserve"> se puede utilizar para estimar la frecuencia del error humano como evento iniciador, multiplicando el número anual de intervenciones del operador por la probabilidad de error humano que corresponde a la situación respecto al estrés y el nivel de dificultad de la intervención.</w:t>
      </w:r>
    </w:p>
    <w:p w:rsidR="009041E7" w:rsidRPr="004E15F6" w:rsidRDefault="009041E7" w:rsidP="004A1FF0">
      <w:pPr>
        <w:spacing w:after="60" w:line="240" w:lineRule="auto"/>
      </w:pPr>
      <w:r w:rsidRPr="004E15F6">
        <w:t>Sin estrés corresponde típicamente a una operación que se puede realizar con varias horas o días por delante.</w:t>
      </w:r>
    </w:p>
    <w:p w:rsidR="009041E7" w:rsidRPr="004E15F6" w:rsidRDefault="009041E7" w:rsidP="004A1FF0">
      <w:pPr>
        <w:spacing w:after="60" w:line="240" w:lineRule="auto"/>
      </w:pPr>
      <w:r w:rsidRPr="004E15F6">
        <w:t>Estrés moderado corresponde típicamente a una operación que se debe realizar en un plazo relativamente corto pero suficiente, por ejemplo durante la ronda del operador de turno.</w:t>
      </w:r>
    </w:p>
    <w:p w:rsidR="009041E7" w:rsidRPr="004E15F6" w:rsidRDefault="009041E7" w:rsidP="004A1FF0">
      <w:pPr>
        <w:spacing w:after="60" w:line="240" w:lineRule="auto"/>
      </w:pPr>
      <w:r w:rsidRPr="004E15F6">
        <w:t xml:space="preserve">Mucho estrés corresponde típicamente a una operación que se debe hacer con mucha prisa y que puede tener impacto inmediato si no se actúa, por ejemplo una respuesta a una alarma. </w:t>
      </w:r>
    </w:p>
    <w:p w:rsidR="009041E7" w:rsidRPr="003A38E8" w:rsidRDefault="009041E7" w:rsidP="004A1FF0">
      <w:pPr>
        <w:spacing w:after="60" w:line="240" w:lineRule="auto"/>
      </w:pPr>
      <w:r w:rsidRPr="004E15F6">
        <w:t>Se resalta sin embargo</w:t>
      </w:r>
      <w:r>
        <w:t xml:space="preserve"> que </w:t>
      </w:r>
      <w:smartTag w:uri="urn:schemas-microsoft-com:office:smarttags" w:element="PersonName">
        <w:smartTagPr>
          <w:attr w:name="ProductID" w:val="la acci￳n. El"/>
        </w:smartTagPr>
        <w:r w:rsidRPr="004E15F6">
          <w:t xml:space="preserve">la </w:t>
        </w:r>
        <w:r w:rsidRPr="004E15F6">
          <w:rPr>
            <w:b/>
          </w:rPr>
          <w:t>Tabla C</w:t>
        </w:r>
      </w:smartTag>
      <w:r w:rsidRPr="004E15F6">
        <w:rPr>
          <w:b/>
        </w:rPr>
        <w:t>2</w:t>
      </w:r>
      <w:r w:rsidRPr="004E15F6">
        <w:t xml:space="preserve"> no se debe utilizar para estimar la probabilidad de fallo de la capa de protección “supervisión e intervención humana” porque las pautas a seguir en este caso están recogidas en </w:t>
      </w:r>
      <w:smartTag w:uri="urn:schemas-microsoft-com:office:smarttags" w:element="PersonName">
        <w:smartTagPr>
          <w:attr w:name="ProductID" w:val="la acci￳n. El"/>
        </w:smartTagPr>
        <w:r w:rsidRPr="004E15F6">
          <w:t xml:space="preserve">la </w:t>
        </w:r>
        <w:r w:rsidRPr="004E15F6">
          <w:rPr>
            <w:b/>
          </w:rPr>
          <w:t>Tabla C</w:t>
        </w:r>
      </w:smartTag>
      <w:r w:rsidRPr="004E15F6">
        <w:rPr>
          <w:b/>
        </w:rPr>
        <w:t>4</w:t>
      </w:r>
      <w:r w:rsidRPr="004E15F6">
        <w:t xml:space="preserve">. </w:t>
      </w:r>
      <w:r>
        <w:t>No obstante, s</w:t>
      </w:r>
      <w:r w:rsidRPr="004E15F6">
        <w:t xml:space="preserve">e podrá </w:t>
      </w:r>
      <w:r w:rsidRPr="003A38E8">
        <w:t>constatar la consiste</w:t>
      </w:r>
      <w:r>
        <w:t xml:space="preserve">ncia </w:t>
      </w:r>
      <w:r w:rsidRPr="004E15F6">
        <w:t>entre las 2 tablas (se da un crédito a la respuesta del operador a una alarma cuando la respuesta requerida es simple, o muy simple y cuando dispone de más de 40 minutos para actuar, ver</w:t>
      </w:r>
      <w:r w:rsidRPr="004E15F6">
        <w:rPr>
          <w:b/>
        </w:rPr>
        <w:t xml:space="preserve"> Anexo</w:t>
      </w:r>
      <w:r w:rsidRPr="004E15F6">
        <w:t xml:space="preserve"> </w:t>
      </w:r>
      <w:r w:rsidRPr="004E15F6">
        <w:rPr>
          <w:b/>
        </w:rPr>
        <w:t>B</w:t>
      </w:r>
      <w:r w:rsidRPr="004E15F6">
        <w:t xml:space="preserve">, </w:t>
      </w:r>
      <w:r w:rsidRPr="004E15F6">
        <w:rPr>
          <w:b/>
        </w:rPr>
        <w:t>Sección</w:t>
      </w:r>
      <w:r w:rsidRPr="004E15F6">
        <w:t xml:space="preserve"> </w:t>
      </w:r>
      <w:r w:rsidRPr="004E15F6">
        <w:rPr>
          <w:b/>
        </w:rPr>
        <w:t>C</w:t>
      </w:r>
      <w:r w:rsidRPr="004E15F6">
        <w:t>).</w:t>
      </w:r>
    </w:p>
    <w:p w:rsidR="009041E7" w:rsidRPr="003A38E8" w:rsidRDefault="009041E7" w:rsidP="004A1FF0">
      <w:pPr>
        <w:spacing w:after="60" w:line="240" w:lineRule="auto"/>
      </w:pPr>
    </w:p>
    <w:p w:rsidR="009041E7" w:rsidRDefault="009041E7" w:rsidP="004A1FF0">
      <w:pPr>
        <w:spacing w:after="60" w:line="240" w:lineRule="auto"/>
      </w:pPr>
      <w:r w:rsidRPr="003A38E8">
        <w:br w:type="page"/>
      </w:r>
    </w:p>
    <w:tbl>
      <w:tblPr>
        <w:tblW w:w="9326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786"/>
        <w:gridCol w:w="3539"/>
        <w:gridCol w:w="1601"/>
        <w:gridCol w:w="1400"/>
      </w:tblGrid>
      <w:tr w:rsidR="009041E7" w:rsidRPr="0088274A" w:rsidTr="008F2FD7">
        <w:trPr>
          <w:trHeight w:val="425"/>
          <w:jc w:val="center"/>
        </w:trPr>
        <w:tc>
          <w:tcPr>
            <w:tcW w:w="9326" w:type="dxa"/>
            <w:gridSpan w:val="4"/>
            <w:shd w:val="clear" w:color="auto" w:fill="000080"/>
            <w:vAlign w:val="center"/>
          </w:tcPr>
          <w:p w:rsidR="009041E7" w:rsidRPr="00AD6C85" w:rsidRDefault="009041E7" w:rsidP="003153FE">
            <w:pPr>
              <w:spacing w:before="0" w:after="0" w:line="240" w:lineRule="auto"/>
              <w:jc w:val="center"/>
              <w:rPr>
                <w:b/>
                <w:bCs/>
                <w:color w:val="FFFFFF"/>
                <w:lang w:val="es-ES_tradnl"/>
              </w:rPr>
            </w:pPr>
            <w:r w:rsidRPr="004E15F6">
              <w:rPr>
                <w:b/>
              </w:rPr>
              <w:lastRenderedPageBreak/>
              <w:t>Tabla C3</w:t>
            </w:r>
            <w:r w:rsidRPr="00AD6C85">
              <w:rPr>
                <w:b/>
              </w:rPr>
              <w:t xml:space="preserve">: Capas de protección independiente </w:t>
            </w:r>
            <w:r>
              <w:rPr>
                <w:b/>
              </w:rPr>
              <w:t xml:space="preserve">IPL </w:t>
            </w:r>
            <w:r w:rsidRPr="00AD6C85">
              <w:rPr>
                <w:b/>
              </w:rPr>
              <w:t>típicas</w:t>
            </w:r>
          </w:p>
        </w:tc>
      </w:tr>
      <w:tr w:rsidR="009041E7" w:rsidRPr="0088274A" w:rsidTr="008F2FD7">
        <w:trPr>
          <w:trHeight w:val="196"/>
          <w:jc w:val="center"/>
        </w:trPr>
        <w:tc>
          <w:tcPr>
            <w:tcW w:w="2786" w:type="dxa"/>
            <w:shd w:val="clear" w:color="auto" w:fill="E6E6E6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Capa de protección independiente</w:t>
            </w:r>
          </w:p>
        </w:tc>
        <w:tc>
          <w:tcPr>
            <w:tcW w:w="3539" w:type="dxa"/>
            <w:shd w:val="clear" w:color="auto" w:fill="E6E6E6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Comentarios</w:t>
            </w:r>
          </w:p>
        </w:tc>
        <w:tc>
          <w:tcPr>
            <w:tcW w:w="1601" w:type="dxa"/>
            <w:shd w:val="clear" w:color="auto" w:fill="E6E6E6"/>
          </w:tcPr>
          <w:p w:rsidR="009041E7" w:rsidRPr="002B6AF9" w:rsidRDefault="009041E7" w:rsidP="008F2FD7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Probabilidad de fallo típica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9041E7" w:rsidRPr="0088274A" w:rsidRDefault="009041E7" w:rsidP="008F2FD7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>
              <w:rPr>
                <w:b/>
                <w:bCs/>
                <w:color w:val="000080"/>
                <w:lang w:val="es-ES_tradnl"/>
              </w:rPr>
              <w:t>Crédito IPL típico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Venteo abierto (sin válvula)</w:t>
            </w:r>
          </w:p>
        </w:tc>
        <w:tc>
          <w:tcPr>
            <w:tcW w:w="3539" w:type="dxa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Previene una sobrepresión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</w:pPr>
            <w:r w:rsidRPr="002B6AF9">
              <w:t>10</w:t>
            </w:r>
            <w:r w:rsidRPr="002B6AF9">
              <w:rPr>
                <w:position w:val="6"/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2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Supresor de Llama/detonación</w:t>
            </w:r>
          </w:p>
        </w:tc>
        <w:tc>
          <w:tcPr>
            <w:tcW w:w="3539" w:type="dxa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rPr>
                <w:sz w:val="18"/>
                <w:szCs w:val="18"/>
                <w:lang w:val="es-ES_tradnl"/>
              </w:rPr>
            </w:pPr>
            <w:r w:rsidRPr="002B6AF9">
              <w:rPr>
                <w:sz w:val="18"/>
                <w:szCs w:val="18"/>
                <w:lang w:val="es-ES_tradnl"/>
              </w:rPr>
              <w:t>Si se diseña, instala y mantiene de adecuadamente eliminará el retroceso potencial de la llama por una tubería hacia el interior de un tanque o depósito.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</w:pPr>
            <w:r w:rsidRPr="002B6AF9">
              <w:t>10</w:t>
            </w:r>
            <w:r w:rsidRPr="002B6AF9">
              <w:rPr>
                <w:position w:val="6"/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2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Válvula antiretorno única en servicio de líquido limpio</w:t>
            </w:r>
          </w:p>
        </w:tc>
        <w:tc>
          <w:tcPr>
            <w:tcW w:w="3539" w:type="dxa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Previene el flujo inverso (líquidos).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 xml:space="preserve">-1 -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Válvula antiretorno única en servicio de gas</w:t>
            </w:r>
          </w:p>
        </w:tc>
        <w:tc>
          <w:tcPr>
            <w:tcW w:w="3539" w:type="dxa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Previene el flujo inverso (gases).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</w:pP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0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Dos válvulas antiretorno en serie</w:t>
            </w:r>
          </w:p>
        </w:tc>
        <w:tc>
          <w:tcPr>
            <w:tcW w:w="3539" w:type="dxa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Dos válvulas antiretorno en serie. Previene el flujo inverso (líquidos o gases).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 xml:space="preserve">-1 -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Disco de ruptura</w:t>
            </w: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En serie antes de una PSV. Servicio limpio.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</w:pP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2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Disco de ruptura</w:t>
            </w: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En serie antes de una PSV. Servicio sucio.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</w:pP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Merge w:val="restart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Válvula de alivio de presión (PSV o PRV)</w:t>
            </w: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 xml:space="preserve">Si se diseña, instala y mantiene adecuadamente previene una sobrepresión.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2B6AF9">
                <w:rPr>
                  <w:sz w:val="18"/>
                  <w:szCs w:val="18"/>
                </w:rPr>
                <w:t>La PFD</w:t>
              </w:r>
            </w:smartTag>
            <w:r w:rsidRPr="002B6AF9">
              <w:rPr>
                <w:sz w:val="18"/>
                <w:szCs w:val="18"/>
              </w:rPr>
              <w:t xml:space="preserve"> se refiere a no abrirse en demanda (100 % de la sección). Servicio limpio.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2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Merge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ind w:left="21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 xml:space="preserve">Si se diseña, instala y mantiene adecuadamente previene una sobrepresión.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2B6AF9">
                <w:rPr>
                  <w:sz w:val="18"/>
                  <w:szCs w:val="18"/>
                </w:rPr>
                <w:t>La PFD</w:t>
              </w:r>
            </w:smartTag>
            <w:r w:rsidRPr="002B6AF9">
              <w:rPr>
                <w:sz w:val="18"/>
                <w:szCs w:val="18"/>
              </w:rPr>
              <w:t xml:space="preserve"> se refiere a no abrirse en demanda (100 % de la sección). Servicio sucio.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Múltiples PSV</w:t>
            </w: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Si se diseña, instala y mantiene adecuadamente previene una sobrepresión.</w:t>
            </w:r>
          </w:p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(2 x 50 %)  (4 x 25 %)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68"/>
              <w:jc w:val="center"/>
              <w:rPr>
                <w:vertAlign w:val="superscript"/>
              </w:rPr>
            </w:pPr>
            <w:r w:rsidRPr="002B6AF9">
              <w:rPr>
                <w:color w:val="000000"/>
              </w:rPr>
              <w:t xml:space="preserve">2 </w:t>
            </w:r>
            <w:r w:rsidRPr="002B6AF9">
              <w:sym w:font="Symbol" w:char="F0B4"/>
            </w:r>
            <w:r w:rsidRPr="002B6AF9">
              <w:rPr>
                <w:color w:val="000000"/>
              </w:rPr>
              <w:t xml:space="preserve"> </w:t>
            </w:r>
            <w:r w:rsidRPr="002B6AF9">
              <w:t>10</w:t>
            </w:r>
            <w:r w:rsidRPr="002B6AF9">
              <w:rPr>
                <w:vertAlign w:val="superscript"/>
              </w:rPr>
              <w:t xml:space="preserve">-2  </w:t>
            </w:r>
          </w:p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68"/>
              <w:jc w:val="center"/>
              <w:rPr>
                <w:color w:val="000000"/>
              </w:rPr>
            </w:pPr>
            <w:r w:rsidRPr="002B6AF9">
              <w:rPr>
                <w:color w:val="000000"/>
              </w:rPr>
              <w:t xml:space="preserve">4 </w:t>
            </w:r>
            <w:r w:rsidRPr="002B6AF9">
              <w:sym w:font="Symbol" w:char="F0B4"/>
            </w:r>
            <w:r w:rsidRPr="002B6AF9">
              <w:rPr>
                <w:color w:val="000000"/>
              </w:rPr>
              <w:t xml:space="preserve">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Lazo de control/BPCS</w:t>
            </w:r>
            <w:r w:rsidRPr="002B6AF9">
              <w:rPr>
                <w:rStyle w:val="Refdenotaalpie"/>
                <w:rFonts w:cs="Arial"/>
                <w:b/>
                <w:sz w:val="18"/>
                <w:szCs w:val="18"/>
              </w:rPr>
              <w:footnoteReference w:id="2"/>
            </w: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Un lazo de control puede ser IPL si es independiente del evento iniciador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ind w:left="70"/>
              <w:jc w:val="center"/>
              <w:rPr>
                <w:color w:val="000000"/>
              </w:rPr>
            </w:pPr>
            <w:r w:rsidRPr="002B6AF9">
              <w:t>10</w:t>
            </w:r>
            <w:r w:rsidRPr="002B6AF9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  <w:tr w:rsidR="009041E7" w:rsidRPr="0088274A" w:rsidTr="008F2FD7">
        <w:trPr>
          <w:trHeight w:val="193"/>
          <w:jc w:val="center"/>
        </w:trPr>
        <w:tc>
          <w:tcPr>
            <w:tcW w:w="2786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Sistema de control específico de ciertas unidades “paquete”</w:t>
            </w:r>
          </w:p>
        </w:tc>
        <w:tc>
          <w:tcPr>
            <w:tcW w:w="3539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2B6AF9">
              <w:rPr>
                <w:sz w:val="18"/>
                <w:szCs w:val="18"/>
              </w:rPr>
              <w:t>Compresores, hornos, calderas, etc.</w:t>
            </w:r>
          </w:p>
        </w:tc>
        <w:tc>
          <w:tcPr>
            <w:tcW w:w="1601" w:type="dxa"/>
            <w:vAlign w:val="center"/>
          </w:tcPr>
          <w:p w:rsidR="009041E7" w:rsidRPr="002B6AF9" w:rsidRDefault="009041E7" w:rsidP="008F2FD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</w:pPr>
            <w:r w:rsidRPr="002B6AF9">
              <w:t>10</w:t>
            </w:r>
            <w:r w:rsidRPr="002B6AF9">
              <w:rPr>
                <w:vertAlign w:val="superscript"/>
              </w:rPr>
              <w:t xml:space="preserve">-1 - </w:t>
            </w:r>
            <w:r w:rsidRPr="002B6AF9">
              <w:t>10</w:t>
            </w:r>
            <w:r w:rsidRPr="002B6AF9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2B6AF9" w:rsidRDefault="009041E7" w:rsidP="008F2FD7">
            <w:pPr>
              <w:spacing w:before="0" w:after="0" w:line="240" w:lineRule="auto"/>
              <w:jc w:val="center"/>
              <w:rPr>
                <w:b/>
              </w:rPr>
            </w:pPr>
            <w:r w:rsidRPr="002B6AF9">
              <w:rPr>
                <w:b/>
              </w:rPr>
              <w:t>1</w:t>
            </w:r>
          </w:p>
        </w:tc>
      </w:tr>
    </w:tbl>
    <w:p w:rsidR="009041E7" w:rsidRDefault="009041E7" w:rsidP="00A01886">
      <w:pPr>
        <w:spacing w:before="0" w:after="0" w:line="240" w:lineRule="auto"/>
        <w:rPr>
          <w:szCs w:val="20"/>
        </w:rPr>
      </w:pPr>
    </w:p>
    <w:p w:rsidR="009041E7" w:rsidRDefault="009041E7">
      <w:pPr>
        <w:spacing w:before="0" w:after="0" w:line="240" w:lineRule="auto"/>
        <w:jc w:val="left"/>
        <w:rPr>
          <w:szCs w:val="20"/>
        </w:rPr>
      </w:pPr>
      <w:r>
        <w:rPr>
          <w:szCs w:val="20"/>
        </w:rPr>
        <w:br w:type="page"/>
      </w:r>
    </w:p>
    <w:tbl>
      <w:tblPr>
        <w:tblW w:w="9326" w:type="dxa"/>
        <w:jc w:val="center"/>
        <w:tblBorders>
          <w:top w:val="thinThickLargeGap" w:sz="24" w:space="0" w:color="000080"/>
          <w:left w:val="thinThickLargeGap" w:sz="24" w:space="0" w:color="000080"/>
          <w:bottom w:val="thinThickLargeGap" w:sz="24" w:space="0" w:color="000080"/>
          <w:right w:val="thinThickLargeGap" w:sz="24" w:space="0" w:color="000080"/>
          <w:insideH w:val="thinThickLargeGap" w:sz="24" w:space="0" w:color="000080"/>
          <w:insideV w:val="thinThickLargeGap" w:sz="24" w:space="0" w:color="000080"/>
        </w:tblBorders>
        <w:tblLook w:val="0000" w:firstRow="0" w:lastRow="0" w:firstColumn="0" w:lastColumn="0" w:noHBand="0" w:noVBand="0"/>
      </w:tblPr>
      <w:tblGrid>
        <w:gridCol w:w="2786"/>
        <w:gridCol w:w="3539"/>
        <w:gridCol w:w="1601"/>
        <w:gridCol w:w="1400"/>
      </w:tblGrid>
      <w:tr w:rsidR="009041E7" w:rsidRPr="0088274A" w:rsidTr="00EC5FEC">
        <w:trPr>
          <w:trHeight w:val="425"/>
          <w:jc w:val="center"/>
        </w:trPr>
        <w:tc>
          <w:tcPr>
            <w:tcW w:w="9326" w:type="dxa"/>
            <w:gridSpan w:val="4"/>
            <w:shd w:val="clear" w:color="auto" w:fill="000080"/>
            <w:vAlign w:val="center"/>
          </w:tcPr>
          <w:p w:rsidR="009041E7" w:rsidRDefault="009041E7" w:rsidP="003153FE">
            <w:pPr>
              <w:spacing w:before="0" w:after="0" w:line="240" w:lineRule="auto"/>
              <w:jc w:val="center"/>
              <w:rPr>
                <w:b/>
              </w:rPr>
            </w:pPr>
            <w:r w:rsidRPr="004E15F6">
              <w:rPr>
                <w:b/>
              </w:rPr>
              <w:lastRenderedPageBreak/>
              <w:t>Tabla C4</w:t>
            </w:r>
            <w:r w:rsidRPr="00AD6C85">
              <w:rPr>
                <w:b/>
              </w:rPr>
              <w:t xml:space="preserve">: </w:t>
            </w:r>
            <w:r w:rsidRPr="0037283A">
              <w:rPr>
                <w:b/>
              </w:rPr>
              <w:t>Capa de protección “sup</w:t>
            </w:r>
            <w:r>
              <w:rPr>
                <w:b/>
              </w:rPr>
              <w:t>ervisión e intervención humana”</w:t>
            </w:r>
          </w:p>
          <w:p w:rsidR="009041E7" w:rsidRPr="00AD6C85" w:rsidRDefault="009041E7" w:rsidP="003153FE">
            <w:pPr>
              <w:spacing w:before="0" w:after="0" w:line="240" w:lineRule="auto"/>
              <w:jc w:val="center"/>
              <w:rPr>
                <w:b/>
                <w:bCs/>
                <w:color w:val="FFFFFF"/>
                <w:lang w:val="es-ES_tradnl"/>
              </w:rPr>
            </w:pPr>
            <w:r w:rsidRPr="0037283A">
              <w:rPr>
                <w:b/>
              </w:rPr>
              <w:t>(ANSI/ISA TR84.00.04-2004)</w:t>
            </w:r>
          </w:p>
        </w:tc>
      </w:tr>
      <w:tr w:rsidR="009041E7" w:rsidRPr="0088274A" w:rsidTr="00EC5FEC">
        <w:trPr>
          <w:trHeight w:val="196"/>
          <w:jc w:val="center"/>
        </w:trPr>
        <w:tc>
          <w:tcPr>
            <w:tcW w:w="2786" w:type="dxa"/>
            <w:shd w:val="clear" w:color="auto" w:fill="E6E6E6"/>
            <w:vAlign w:val="center"/>
          </w:tcPr>
          <w:p w:rsidR="009041E7" w:rsidRPr="002B6AF9" w:rsidRDefault="009041E7" w:rsidP="00EC5FEC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Capa de protección independiente</w:t>
            </w:r>
          </w:p>
        </w:tc>
        <w:tc>
          <w:tcPr>
            <w:tcW w:w="3539" w:type="dxa"/>
            <w:shd w:val="clear" w:color="auto" w:fill="E6E6E6"/>
            <w:vAlign w:val="center"/>
          </w:tcPr>
          <w:p w:rsidR="009041E7" w:rsidRPr="002B6AF9" w:rsidRDefault="009041E7" w:rsidP="00EC5FEC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>Comentarios</w:t>
            </w:r>
          </w:p>
        </w:tc>
        <w:tc>
          <w:tcPr>
            <w:tcW w:w="1601" w:type="dxa"/>
            <w:shd w:val="clear" w:color="auto" w:fill="E6E6E6"/>
          </w:tcPr>
          <w:p w:rsidR="009041E7" w:rsidRPr="002B6AF9" w:rsidRDefault="009041E7" w:rsidP="00EC5FEC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 w:rsidRPr="002B6AF9">
              <w:rPr>
                <w:b/>
                <w:bCs/>
                <w:color w:val="000080"/>
                <w:lang w:val="es-ES_tradnl"/>
              </w:rPr>
              <w:t xml:space="preserve">Probabilidad de fallo </w:t>
            </w:r>
            <w:r>
              <w:rPr>
                <w:b/>
                <w:bCs/>
                <w:color w:val="000080"/>
                <w:lang w:val="es-ES_tradnl"/>
              </w:rPr>
              <w:t>s/ ISA 84.00.01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9041E7" w:rsidRPr="0088274A" w:rsidRDefault="009041E7" w:rsidP="00EC5FEC">
            <w:pPr>
              <w:spacing w:before="0" w:after="0" w:line="240" w:lineRule="auto"/>
              <w:ind w:left="52"/>
              <w:jc w:val="center"/>
              <w:rPr>
                <w:b/>
                <w:bCs/>
                <w:color w:val="000080"/>
                <w:lang w:val="es-ES_tradnl"/>
              </w:rPr>
            </w:pPr>
            <w:r>
              <w:rPr>
                <w:b/>
                <w:bCs/>
                <w:color w:val="000080"/>
                <w:lang w:val="es-ES_tradnl"/>
              </w:rPr>
              <w:t>Crédito IPL típico</w:t>
            </w:r>
          </w:p>
        </w:tc>
      </w:tr>
      <w:tr w:rsidR="009041E7" w:rsidRPr="0088274A" w:rsidTr="00EC5FEC">
        <w:trPr>
          <w:trHeight w:val="193"/>
          <w:jc w:val="center"/>
        </w:trPr>
        <w:tc>
          <w:tcPr>
            <w:tcW w:w="2786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Respuesta del operador ante las indicaciones del BPCS o alarma de 10 minutos o más </w:t>
            </w:r>
          </w:p>
        </w:tc>
        <w:tc>
          <w:tcPr>
            <w:tcW w:w="3539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La acción por parte del operador es simple, está bien documentada y con indicación clara y fiable de que tiene que realizar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37283A">
                <w:rPr>
                  <w:sz w:val="18"/>
                  <w:szCs w:val="18"/>
                </w:rPr>
                <w:t>la acción. El</w:t>
              </w:r>
            </w:smartTag>
            <w:r w:rsidRPr="0037283A">
              <w:rPr>
                <w:sz w:val="18"/>
                <w:szCs w:val="18"/>
              </w:rPr>
              <w:t xml:space="preserve"> operador no tiene que hacer diagnóstico para ejecutar la acción.</w:t>
            </w:r>
          </w:p>
        </w:tc>
        <w:tc>
          <w:tcPr>
            <w:tcW w:w="1601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</w:pPr>
            <w:r w:rsidRPr="0037283A">
              <w:t xml:space="preserve">&gt; 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rPr>
                <w:b/>
              </w:rPr>
              <w:t>0</w:t>
            </w:r>
          </w:p>
        </w:tc>
      </w:tr>
      <w:tr w:rsidR="009041E7" w:rsidRPr="0088274A" w:rsidTr="00EC5FEC">
        <w:trPr>
          <w:trHeight w:val="193"/>
          <w:jc w:val="center"/>
        </w:trPr>
        <w:tc>
          <w:tcPr>
            <w:tcW w:w="2786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>Respuesta del operador ante las indicaciones del BPCS o alarma de 40 minutos o más</w:t>
            </w:r>
          </w:p>
        </w:tc>
        <w:tc>
          <w:tcPr>
            <w:tcW w:w="3539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La acción por parte del operador es simple, está bien documentada y con indicación clara y fiable de que tiene que realizar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37283A">
                <w:rPr>
                  <w:sz w:val="18"/>
                  <w:szCs w:val="18"/>
                </w:rPr>
                <w:t>la acción. Se</w:t>
              </w:r>
            </w:smartTag>
            <w:r w:rsidRPr="0037283A">
              <w:rPr>
                <w:sz w:val="18"/>
                <w:szCs w:val="18"/>
              </w:rPr>
              <w:t xml:space="preserve"> admite un mínimo diagnóstico antes de ejecutar la acción.</w:t>
            </w:r>
          </w:p>
        </w:tc>
        <w:tc>
          <w:tcPr>
            <w:tcW w:w="1601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</w:pPr>
            <w:r w:rsidRPr="0037283A">
              <w:t xml:space="preserve">&gt; 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rPr>
                <w:b/>
              </w:rPr>
              <w:t>1</w:t>
            </w:r>
          </w:p>
        </w:tc>
      </w:tr>
      <w:tr w:rsidR="009041E7" w:rsidRPr="0088274A" w:rsidTr="00EC5FEC">
        <w:trPr>
          <w:trHeight w:val="193"/>
          <w:jc w:val="center"/>
        </w:trPr>
        <w:tc>
          <w:tcPr>
            <w:tcW w:w="2786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Respuesta del operador ante las indicaciones del SIS o alarma de 10 minutos o más </w:t>
            </w:r>
          </w:p>
        </w:tc>
        <w:tc>
          <w:tcPr>
            <w:tcW w:w="3539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La acción por parte del operador es simple, está bien documentada y con indicación clara y fiable de que tiene que realizar </w:t>
            </w:r>
            <w:smartTag w:uri="urn:schemas-microsoft-com:office:smarttags" w:element="PersonName">
              <w:smartTagPr>
                <w:attr w:name="ProductID" w:val="la acci￳n. El"/>
              </w:smartTagPr>
              <w:r w:rsidRPr="0037283A">
                <w:rPr>
                  <w:sz w:val="18"/>
                  <w:szCs w:val="18"/>
                </w:rPr>
                <w:t>la acción. El</w:t>
              </w:r>
            </w:smartTag>
            <w:r w:rsidRPr="0037283A">
              <w:rPr>
                <w:sz w:val="18"/>
                <w:szCs w:val="18"/>
              </w:rPr>
              <w:t xml:space="preserve"> operador no tiene que hacer diagnóstico para ejecutar la acción.</w:t>
            </w:r>
          </w:p>
        </w:tc>
        <w:tc>
          <w:tcPr>
            <w:tcW w:w="1601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</w:pPr>
            <w:r w:rsidRPr="0037283A">
              <w:t xml:space="preserve">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</w:p>
        </w:tc>
        <w:tc>
          <w:tcPr>
            <w:tcW w:w="1400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rPr>
                <w:b/>
              </w:rPr>
              <w:t>0</w:t>
            </w:r>
          </w:p>
        </w:tc>
      </w:tr>
      <w:tr w:rsidR="009041E7" w:rsidRPr="0088274A" w:rsidTr="00EC5FEC">
        <w:trPr>
          <w:trHeight w:val="193"/>
          <w:jc w:val="center"/>
        </w:trPr>
        <w:tc>
          <w:tcPr>
            <w:tcW w:w="2786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Respuesta del operador ante las indicaciones del SIS o alarma de 40 minutos o más </w:t>
            </w:r>
          </w:p>
        </w:tc>
        <w:tc>
          <w:tcPr>
            <w:tcW w:w="3539" w:type="dxa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>La acción por parte del operador es simple, está bien documentada y con indicación clara y fiable de que tiene que realizar la acción. Se admite un mínimo diagnóstico antes de ejecutar la acción.</w:t>
            </w:r>
          </w:p>
        </w:tc>
        <w:tc>
          <w:tcPr>
            <w:tcW w:w="1601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</w:pPr>
            <w:r>
              <w:t xml:space="preserve">  </w:t>
            </w:r>
            <w:r w:rsidRPr="0037283A">
              <w:t xml:space="preserve">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-1</w:t>
            </w:r>
            <w:r w:rsidRPr="0037283A">
              <w:t xml:space="preserve"> - </w:t>
            </w:r>
            <w:r>
              <w:t xml:space="preserve">      </w:t>
            </w:r>
            <w:r w:rsidRPr="0037283A">
              <w:t xml:space="preserve">1 </w:t>
            </w:r>
            <w:r w:rsidRPr="0037283A">
              <w:sym w:font="Symbol" w:char="F0B4"/>
            </w:r>
            <w:r w:rsidRPr="0037283A">
              <w:t xml:space="preserve"> 10</w:t>
            </w:r>
            <w:r w:rsidRPr="0037283A">
              <w:rPr>
                <w:vertAlign w:val="superscript"/>
              </w:rPr>
              <w:t>-2</w:t>
            </w:r>
          </w:p>
        </w:tc>
        <w:tc>
          <w:tcPr>
            <w:tcW w:w="1400" w:type="dxa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ind w:left="9"/>
              <w:jc w:val="center"/>
              <w:rPr>
                <w:b/>
              </w:rPr>
            </w:pPr>
            <w:r w:rsidRPr="0037283A">
              <w:rPr>
                <w:b/>
              </w:rPr>
              <w:t>1</w:t>
            </w:r>
          </w:p>
        </w:tc>
      </w:tr>
      <w:tr w:rsidR="009041E7" w:rsidRPr="0088274A" w:rsidTr="00EC5FEC">
        <w:trPr>
          <w:trHeight w:val="193"/>
          <w:jc w:val="center"/>
        </w:trPr>
        <w:tc>
          <w:tcPr>
            <w:tcW w:w="9326" w:type="dxa"/>
            <w:gridSpan w:val="4"/>
            <w:vAlign w:val="center"/>
          </w:tcPr>
          <w:p w:rsidR="009041E7" w:rsidRPr="0037283A" w:rsidRDefault="009041E7" w:rsidP="00EC5FEC">
            <w:pPr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37283A">
              <w:rPr>
                <w:sz w:val="18"/>
                <w:szCs w:val="18"/>
              </w:rPr>
              <w:t xml:space="preserve">Se </w:t>
            </w:r>
            <w:r>
              <w:rPr>
                <w:sz w:val="18"/>
                <w:szCs w:val="18"/>
              </w:rPr>
              <w:t>asume</w:t>
            </w:r>
            <w:r w:rsidRPr="003728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una </w:t>
            </w:r>
            <w:r w:rsidRPr="0037283A">
              <w:rPr>
                <w:sz w:val="18"/>
                <w:szCs w:val="18"/>
              </w:rPr>
              <w:t>documentación ad</w:t>
            </w:r>
            <w:r>
              <w:rPr>
                <w:sz w:val="18"/>
                <w:szCs w:val="18"/>
              </w:rPr>
              <w:t xml:space="preserve">ecuada, formación y simulacros </w:t>
            </w:r>
            <w:r w:rsidRPr="0037283A">
              <w:rPr>
                <w:sz w:val="18"/>
                <w:szCs w:val="18"/>
              </w:rPr>
              <w:t>para operador</w:t>
            </w:r>
            <w:r>
              <w:rPr>
                <w:sz w:val="18"/>
                <w:szCs w:val="18"/>
              </w:rPr>
              <w:t>es</w:t>
            </w:r>
            <w:r w:rsidRPr="0037283A">
              <w:rPr>
                <w:sz w:val="18"/>
                <w:szCs w:val="18"/>
              </w:rPr>
              <w:t xml:space="preserve"> y procedimientos de prueba.</w:t>
            </w:r>
          </w:p>
        </w:tc>
      </w:tr>
    </w:tbl>
    <w:p w:rsidR="009041E7" w:rsidRPr="00EC5FEC" w:rsidRDefault="009041E7" w:rsidP="00A01886">
      <w:pPr>
        <w:spacing w:before="0" w:after="0" w:line="240" w:lineRule="auto"/>
        <w:rPr>
          <w:szCs w:val="20"/>
          <w:lang w:val="es-ES_tradnl"/>
        </w:rPr>
      </w:pPr>
    </w:p>
    <w:p w:rsidR="009041E7" w:rsidRPr="008C5FEC" w:rsidRDefault="009041E7" w:rsidP="00A01886">
      <w:pPr>
        <w:spacing w:before="0" w:after="0" w:line="240" w:lineRule="auto"/>
        <w:rPr>
          <w:szCs w:val="20"/>
        </w:rPr>
      </w:pPr>
    </w:p>
    <w:sectPr w:rsidR="009041E7" w:rsidRPr="008C5FEC" w:rsidSect="000D7503">
      <w:headerReference w:type="default" r:id="rId7"/>
      <w:footerReference w:type="default" r:id="rId8"/>
      <w:pgSz w:w="12242" w:h="15842" w:code="11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B36" w:rsidRDefault="00FF1B36">
      <w:r>
        <w:separator/>
      </w:r>
    </w:p>
  </w:endnote>
  <w:endnote w:type="continuationSeparator" w:id="0">
    <w:p w:rsidR="00FF1B36" w:rsidRDefault="00FF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egrit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1E7" w:rsidRPr="00C524FE" w:rsidRDefault="009041E7" w:rsidP="00C524FE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="00FF3CC1" w:rsidRPr="00C524FE">
      <w:rPr>
        <w:rStyle w:val="Nmerodepgina"/>
        <w:rFonts w:cs="Arial"/>
        <w:sz w:val="18"/>
        <w:szCs w:val="18"/>
      </w:rPr>
      <w:fldChar w:fldCharType="begin"/>
    </w:r>
    <w:r w:rsidRPr="00C524FE">
      <w:rPr>
        <w:rStyle w:val="Nmerodepgina"/>
        <w:rFonts w:cs="Arial"/>
        <w:sz w:val="18"/>
        <w:szCs w:val="18"/>
      </w:rPr>
      <w:instrText xml:space="preserve"> PAGE </w:instrText>
    </w:r>
    <w:r w:rsidR="00FF3CC1" w:rsidRPr="00C524FE">
      <w:rPr>
        <w:rStyle w:val="Nmerodepgina"/>
        <w:rFonts w:cs="Arial"/>
        <w:sz w:val="18"/>
        <w:szCs w:val="18"/>
      </w:rPr>
      <w:fldChar w:fldCharType="separate"/>
    </w:r>
    <w:r w:rsidR="006205F4">
      <w:rPr>
        <w:rStyle w:val="Nmerodepgina"/>
        <w:rFonts w:cs="Arial"/>
        <w:noProof/>
        <w:sz w:val="18"/>
        <w:szCs w:val="18"/>
      </w:rPr>
      <w:t>1</w:t>
    </w:r>
    <w:r w:rsidR="00FF3CC1" w:rsidRPr="00C524FE">
      <w:rPr>
        <w:rStyle w:val="Nmerodepgina"/>
        <w:rFonts w:cs="Arial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="00FF3CC1"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="00FF3CC1" w:rsidRPr="00C524FE">
      <w:rPr>
        <w:sz w:val="18"/>
        <w:szCs w:val="18"/>
      </w:rPr>
      <w:fldChar w:fldCharType="separate"/>
    </w:r>
    <w:r w:rsidR="006205F4">
      <w:rPr>
        <w:noProof/>
        <w:sz w:val="18"/>
        <w:szCs w:val="18"/>
      </w:rPr>
      <w:t>4</w:t>
    </w:r>
    <w:r w:rsidR="00FF3CC1" w:rsidRPr="00C524F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B36" w:rsidRDefault="00FF1B36">
      <w:r>
        <w:separator/>
      </w:r>
    </w:p>
  </w:footnote>
  <w:footnote w:type="continuationSeparator" w:id="0">
    <w:p w:rsidR="00FF1B36" w:rsidRDefault="00FF1B36">
      <w:r>
        <w:continuationSeparator/>
      </w:r>
    </w:p>
  </w:footnote>
  <w:footnote w:id="1">
    <w:p w:rsidR="009041E7" w:rsidRDefault="009041E7" w:rsidP="00EF5BA6">
      <w:pPr>
        <w:spacing w:before="0" w:after="0" w:line="240" w:lineRule="auto"/>
      </w:pPr>
      <w:r w:rsidRPr="004E15F6">
        <w:rPr>
          <w:rStyle w:val="Refdenotaalpie"/>
          <w:rFonts w:cs="Arial"/>
          <w:b/>
          <w:sz w:val="16"/>
          <w:szCs w:val="16"/>
        </w:rPr>
        <w:footnoteRef/>
      </w:r>
      <w:r>
        <w:t xml:space="preserve"> </w:t>
      </w:r>
      <w:r w:rsidRPr="00995630">
        <w:rPr>
          <w:color w:val="000080"/>
          <w:sz w:val="16"/>
          <w:szCs w:val="16"/>
        </w:rPr>
        <w:t xml:space="preserve">La tasa de fallo del BPCS está regulada por IEC 61511 §8.2.2:“La tasa de fallos peligrosos de un BPCS (que no satisface </w:t>
      </w:r>
      <w:smartTag w:uri="urn:schemas-microsoft-com:office:smarttags" w:element="PersonName">
        <w:smartTagPr>
          <w:attr w:name="ProductID" w:val="la norma IEC"/>
        </w:smartTagPr>
        <w:r w:rsidRPr="00995630">
          <w:rPr>
            <w:color w:val="000080"/>
            <w:sz w:val="16"/>
            <w:szCs w:val="16"/>
          </w:rPr>
          <w:t>la norma IEC</w:t>
        </w:r>
      </w:smartTag>
      <w:r w:rsidRPr="00995630">
        <w:rPr>
          <w:color w:val="000080"/>
          <w:sz w:val="16"/>
          <w:szCs w:val="16"/>
        </w:rPr>
        <w:t xml:space="preserve"> 61511) que realiza una demanda en una capa de protección, no debe ser evaluada en un valor menor que 10</w:t>
      </w:r>
      <w:r w:rsidRPr="00995630">
        <w:rPr>
          <w:color w:val="000080"/>
          <w:sz w:val="16"/>
          <w:szCs w:val="16"/>
          <w:vertAlign w:val="superscript"/>
        </w:rPr>
        <w:t>-5</w:t>
      </w:r>
      <w:r w:rsidRPr="00995630">
        <w:rPr>
          <w:color w:val="000080"/>
          <w:sz w:val="16"/>
          <w:szCs w:val="16"/>
        </w:rPr>
        <w:t xml:space="preserve"> por hora”. En consecuencia, para un funcionamiento en continuo, la frecuencia anual de fallo es: 10</w:t>
      </w:r>
      <w:r w:rsidRPr="00995630">
        <w:rPr>
          <w:color w:val="000080"/>
          <w:sz w:val="16"/>
          <w:szCs w:val="16"/>
          <w:vertAlign w:val="superscript"/>
        </w:rPr>
        <w:t>-5</w:t>
      </w:r>
      <w:r w:rsidRPr="00995630">
        <w:rPr>
          <w:color w:val="000080"/>
          <w:sz w:val="16"/>
          <w:szCs w:val="16"/>
        </w:rPr>
        <w:t xml:space="preserve"> </w:t>
      </w:r>
      <w:r w:rsidRPr="00995630">
        <w:rPr>
          <w:color w:val="000080"/>
          <w:sz w:val="16"/>
          <w:szCs w:val="16"/>
        </w:rPr>
        <w:sym w:font="Symbol" w:char="F0B4"/>
      </w:r>
      <w:r w:rsidRPr="00995630">
        <w:rPr>
          <w:color w:val="000080"/>
          <w:sz w:val="16"/>
          <w:szCs w:val="16"/>
        </w:rPr>
        <w:t xml:space="preserve"> 8760 ≈ 10</w:t>
      </w:r>
      <w:r w:rsidRPr="00995630">
        <w:rPr>
          <w:color w:val="000080"/>
          <w:sz w:val="16"/>
          <w:szCs w:val="16"/>
          <w:vertAlign w:val="superscript"/>
        </w:rPr>
        <w:t>-1</w:t>
      </w:r>
      <w:r w:rsidRPr="00995630">
        <w:rPr>
          <w:color w:val="000080"/>
          <w:sz w:val="16"/>
          <w:szCs w:val="16"/>
        </w:rPr>
        <w:t>año</w:t>
      </w:r>
      <w:r w:rsidRPr="00995630">
        <w:rPr>
          <w:color w:val="000080"/>
          <w:sz w:val="16"/>
          <w:szCs w:val="16"/>
          <w:vertAlign w:val="superscript"/>
        </w:rPr>
        <w:t>-1</w:t>
      </w:r>
      <w:r w:rsidRPr="00995630">
        <w:rPr>
          <w:color w:val="000080"/>
          <w:sz w:val="16"/>
          <w:szCs w:val="16"/>
        </w:rPr>
        <w:t xml:space="preserve"> o 1oo10.</w:t>
      </w:r>
    </w:p>
  </w:footnote>
  <w:footnote w:id="2">
    <w:p w:rsidR="009041E7" w:rsidRDefault="009041E7" w:rsidP="008F2FD7">
      <w:pPr>
        <w:spacing w:before="0" w:after="0" w:line="240" w:lineRule="auto"/>
      </w:pPr>
      <w:r w:rsidRPr="00E035A8">
        <w:rPr>
          <w:rStyle w:val="Refdenotaalpie"/>
          <w:rFonts w:cs="Arial"/>
          <w:b/>
        </w:rPr>
        <w:footnoteRef/>
      </w:r>
      <w:r>
        <w:t xml:space="preserve"> </w:t>
      </w:r>
      <w:r w:rsidRPr="008F2FD7">
        <w:rPr>
          <w:color w:val="000080"/>
          <w:sz w:val="16"/>
          <w:szCs w:val="16"/>
        </w:rPr>
        <w:t>El factor de reducción de</w:t>
      </w:r>
      <w:r>
        <w:rPr>
          <w:color w:val="000080"/>
          <w:sz w:val="16"/>
          <w:szCs w:val="16"/>
        </w:rPr>
        <w:t>l</w:t>
      </w:r>
      <w:r w:rsidRPr="008F2FD7">
        <w:rPr>
          <w:color w:val="000080"/>
          <w:sz w:val="16"/>
          <w:szCs w:val="16"/>
        </w:rPr>
        <w:t xml:space="preserve"> riesgo (inversa de </w:t>
      </w:r>
      <w:smartTag w:uri="urn:schemas-microsoft-com:office:smarttags" w:element="PersonName">
        <w:smartTagPr>
          <w:attr w:name="ProductID" w:val="La PFD"/>
        </w:smartTagPr>
        <w:r w:rsidRPr="008F2FD7">
          <w:rPr>
            <w:color w:val="000080"/>
            <w:sz w:val="16"/>
            <w:szCs w:val="16"/>
          </w:rPr>
          <w:t>la PFD</w:t>
        </w:r>
      </w:smartTag>
      <w:r w:rsidRPr="008F2FD7">
        <w:rPr>
          <w:color w:val="000080"/>
          <w:sz w:val="16"/>
          <w:szCs w:val="16"/>
        </w:rPr>
        <w:t>) del BPCS está regulado por</w:t>
      </w:r>
      <w:r>
        <w:rPr>
          <w:color w:val="000080"/>
          <w:sz w:val="16"/>
          <w:szCs w:val="16"/>
        </w:rPr>
        <w:t xml:space="preserve"> la norma</w:t>
      </w:r>
      <w:r w:rsidRPr="008F2FD7">
        <w:rPr>
          <w:color w:val="000080"/>
          <w:sz w:val="16"/>
          <w:szCs w:val="16"/>
        </w:rPr>
        <w:t xml:space="preserve"> IEC 61511 §9.4.2: “El factor de reducción de riesgo para un BPCS (que no satisface las normas IEC 61511 o IEC 61508) usado como capa de protección debe estar por debajo de 10“ e IEC 61511 §9.4.3 “Si se reivindica para un BPCS un factor de reducción superior a 10, se debe diseñar según los requisitos de esta norma</w:t>
      </w:r>
      <w:r w:rsidRPr="008F2FD7">
        <w:rPr>
          <w:color w:val="000080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860"/>
      <w:gridCol w:w="1976"/>
    </w:tblGrid>
    <w:tr w:rsidR="009E6EE7" w:rsidRPr="00065BE9" w:rsidTr="00F40008">
      <w:trPr>
        <w:trHeight w:val="1069"/>
      </w:trPr>
      <w:tc>
        <w:tcPr>
          <w:tcW w:w="2628" w:type="dxa"/>
        </w:tcPr>
        <w:p w:rsidR="009E6EE7" w:rsidRPr="00C4240F" w:rsidRDefault="009E6EE7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2336" behindDoc="0" locked="0" layoutInCell="1" allowOverlap="1" wp14:anchorId="50D2F595" wp14:editId="48242EAB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257300" cy="457200"/>
                <wp:effectExtent l="0" t="0" r="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0" w:type="dxa"/>
          <w:vAlign w:val="center"/>
        </w:tcPr>
        <w:p w:rsidR="009E6EE7" w:rsidRDefault="009E6EE7" w:rsidP="006951A2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 w:rsidRPr="006951A2">
            <w:rPr>
              <w:b/>
              <w:sz w:val="20"/>
              <w:szCs w:val="20"/>
            </w:rPr>
            <w:t xml:space="preserve">TASAS DE FALLO TÍPICAS Y CRÉDITOS IPL PARA ASIGNACIÓN SIL MEDIANTE </w:t>
          </w:r>
        </w:p>
        <w:p w:rsidR="009E6EE7" w:rsidRPr="000D437E" w:rsidRDefault="009E6EE7" w:rsidP="006951A2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 w:rsidRPr="006951A2">
            <w:rPr>
              <w:b/>
              <w:sz w:val="20"/>
              <w:szCs w:val="20"/>
            </w:rPr>
            <w:t>GRÁFIC</w:t>
          </w:r>
          <w:r>
            <w:rPr>
              <w:b/>
              <w:sz w:val="20"/>
              <w:szCs w:val="20"/>
            </w:rPr>
            <w:t>O</w:t>
          </w:r>
          <w:r w:rsidRPr="006951A2">
            <w:rPr>
              <w:b/>
              <w:sz w:val="20"/>
              <w:szCs w:val="20"/>
            </w:rPr>
            <w:t>S DE RIESGOS</w:t>
          </w:r>
        </w:p>
      </w:tc>
      <w:tc>
        <w:tcPr>
          <w:tcW w:w="1976" w:type="dxa"/>
          <w:vAlign w:val="center"/>
        </w:tcPr>
        <w:p w:rsidR="009E6EE7" w:rsidRPr="009E6EE7" w:rsidRDefault="009E6EE7" w:rsidP="00907398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 w:rsidRPr="009E6EE7">
            <w:rPr>
              <w:b/>
              <w:sz w:val="20"/>
              <w:szCs w:val="20"/>
            </w:rPr>
            <w:t>ANEXO C</w:t>
          </w:r>
        </w:p>
        <w:p w:rsidR="009E6EE7" w:rsidRPr="009E6EE7" w:rsidRDefault="009E6EE7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PG-1-</w:t>
          </w:r>
          <w:r w:rsidR="00A61F3E">
            <w:rPr>
              <w:b/>
              <w:sz w:val="20"/>
              <w:szCs w:val="20"/>
            </w:rPr>
            <w:t>DGSMS-81</w:t>
          </w:r>
        </w:p>
      </w:tc>
    </w:tr>
  </w:tbl>
  <w:p w:rsidR="009041E7" w:rsidRDefault="009041E7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1093"/>
    <w:multiLevelType w:val="hybridMultilevel"/>
    <w:tmpl w:val="436618C2"/>
    <w:lvl w:ilvl="0" w:tplc="0B145268">
      <w:start w:val="1"/>
      <w:numFmt w:val="upperLetter"/>
      <w:lvlText w:val="%1."/>
      <w:lvlJc w:val="left"/>
      <w:pPr>
        <w:tabs>
          <w:tab w:val="num" w:pos="1287"/>
        </w:tabs>
        <w:ind w:left="1287" w:hanging="360"/>
      </w:pPr>
      <w:rPr>
        <w:rFonts w:ascii="Arial Negrita" w:hAnsi="Arial Negrita" w:cs="Times New Roman"/>
        <w:b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" w15:restartNumberingAfterBreak="0">
    <w:nsid w:val="156A27CF"/>
    <w:multiLevelType w:val="hybridMultilevel"/>
    <w:tmpl w:val="B20CFFC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 w15:restartNumberingAfterBreak="0">
    <w:nsid w:val="16E4580F"/>
    <w:multiLevelType w:val="hybridMultilevel"/>
    <w:tmpl w:val="F5C06A84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7315D89"/>
    <w:multiLevelType w:val="hybridMultilevel"/>
    <w:tmpl w:val="4484C87C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787FD6"/>
    <w:multiLevelType w:val="hybridMultilevel"/>
    <w:tmpl w:val="49B053E8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45D23B45"/>
    <w:multiLevelType w:val="hybridMultilevel"/>
    <w:tmpl w:val="1624DCE6"/>
    <w:lvl w:ilvl="0" w:tplc="04090005">
      <w:start w:val="1"/>
      <w:numFmt w:val="bullet"/>
      <w:lvlText w:val="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4D8E0EE4"/>
    <w:multiLevelType w:val="hybridMultilevel"/>
    <w:tmpl w:val="C1C6706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800669"/>
    <w:multiLevelType w:val="hybridMultilevel"/>
    <w:tmpl w:val="4348797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2270646"/>
    <w:multiLevelType w:val="hybridMultilevel"/>
    <w:tmpl w:val="BE1CD1B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26A53"/>
    <w:rsid w:val="00061FFC"/>
    <w:rsid w:val="00065BE9"/>
    <w:rsid w:val="00076A22"/>
    <w:rsid w:val="000C3AD9"/>
    <w:rsid w:val="000D437E"/>
    <w:rsid w:val="000D73DC"/>
    <w:rsid w:val="000D7503"/>
    <w:rsid w:val="000E1952"/>
    <w:rsid w:val="00105C18"/>
    <w:rsid w:val="00107DC3"/>
    <w:rsid w:val="001A2FC7"/>
    <w:rsid w:val="001B44CC"/>
    <w:rsid w:val="001E1614"/>
    <w:rsid w:val="00204BB8"/>
    <w:rsid w:val="0022081F"/>
    <w:rsid w:val="00224FC1"/>
    <w:rsid w:val="002419C3"/>
    <w:rsid w:val="00281773"/>
    <w:rsid w:val="00287660"/>
    <w:rsid w:val="002B4458"/>
    <w:rsid w:val="002B6AF9"/>
    <w:rsid w:val="002C1526"/>
    <w:rsid w:val="002E295F"/>
    <w:rsid w:val="00301DF1"/>
    <w:rsid w:val="003153FE"/>
    <w:rsid w:val="00364BCC"/>
    <w:rsid w:val="0037283A"/>
    <w:rsid w:val="003A38E8"/>
    <w:rsid w:val="003A6D05"/>
    <w:rsid w:val="003F15AB"/>
    <w:rsid w:val="00430439"/>
    <w:rsid w:val="00447197"/>
    <w:rsid w:val="004A0BE1"/>
    <w:rsid w:val="004A1FF0"/>
    <w:rsid w:val="004A25C2"/>
    <w:rsid w:val="004B0497"/>
    <w:rsid w:val="004E15F6"/>
    <w:rsid w:val="004F4FEA"/>
    <w:rsid w:val="00536466"/>
    <w:rsid w:val="00580729"/>
    <w:rsid w:val="00581A2E"/>
    <w:rsid w:val="005D19E2"/>
    <w:rsid w:val="00607BA1"/>
    <w:rsid w:val="006205F4"/>
    <w:rsid w:val="006951A2"/>
    <w:rsid w:val="00707040"/>
    <w:rsid w:val="00723E98"/>
    <w:rsid w:val="00736686"/>
    <w:rsid w:val="00747AB7"/>
    <w:rsid w:val="00771815"/>
    <w:rsid w:val="00775154"/>
    <w:rsid w:val="007A3832"/>
    <w:rsid w:val="007F58D5"/>
    <w:rsid w:val="008712FF"/>
    <w:rsid w:val="00881AB8"/>
    <w:rsid w:val="0088274A"/>
    <w:rsid w:val="008C3240"/>
    <w:rsid w:val="008C5FEC"/>
    <w:rsid w:val="008F2FD7"/>
    <w:rsid w:val="009041E7"/>
    <w:rsid w:val="00907398"/>
    <w:rsid w:val="0092471C"/>
    <w:rsid w:val="00983C34"/>
    <w:rsid w:val="00995630"/>
    <w:rsid w:val="009E6EE7"/>
    <w:rsid w:val="00A01886"/>
    <w:rsid w:val="00A61F3E"/>
    <w:rsid w:val="00A70485"/>
    <w:rsid w:val="00A967F3"/>
    <w:rsid w:val="00AB634A"/>
    <w:rsid w:val="00AD6C85"/>
    <w:rsid w:val="00B00988"/>
    <w:rsid w:val="00B04187"/>
    <w:rsid w:val="00B27FF5"/>
    <w:rsid w:val="00B54F87"/>
    <w:rsid w:val="00B97CE2"/>
    <w:rsid w:val="00BB3E3E"/>
    <w:rsid w:val="00BF6A4A"/>
    <w:rsid w:val="00C0164D"/>
    <w:rsid w:val="00C11CA4"/>
    <w:rsid w:val="00C329D2"/>
    <w:rsid w:val="00C4240F"/>
    <w:rsid w:val="00C524FE"/>
    <w:rsid w:val="00C61AE3"/>
    <w:rsid w:val="00C674EE"/>
    <w:rsid w:val="00CD433F"/>
    <w:rsid w:val="00CE21A8"/>
    <w:rsid w:val="00CE76BE"/>
    <w:rsid w:val="00D064F5"/>
    <w:rsid w:val="00D20ABD"/>
    <w:rsid w:val="00D36844"/>
    <w:rsid w:val="00E035A8"/>
    <w:rsid w:val="00E34B0C"/>
    <w:rsid w:val="00E62135"/>
    <w:rsid w:val="00EA1C5E"/>
    <w:rsid w:val="00EB223F"/>
    <w:rsid w:val="00EB7A97"/>
    <w:rsid w:val="00EC5FEC"/>
    <w:rsid w:val="00ED01A7"/>
    <w:rsid w:val="00ED2200"/>
    <w:rsid w:val="00EF5BA6"/>
    <w:rsid w:val="00F14474"/>
    <w:rsid w:val="00F403B2"/>
    <w:rsid w:val="00F45E22"/>
    <w:rsid w:val="00FC6C07"/>
    <w:rsid w:val="00FF1B36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D67F4BCA-4FD6-488E-B619-18BDF789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  <w:style w:type="character" w:styleId="Nmerodepgina">
    <w:name w:val="page number"/>
    <w:basedOn w:val="Fuentedeprrafopredeter"/>
    <w:uiPriority w:val="99"/>
    <w:rsid w:val="00C524FE"/>
    <w:rPr>
      <w:rFonts w:cs="Times New Roman"/>
    </w:rPr>
  </w:style>
  <w:style w:type="character" w:styleId="Refdenotaalpie">
    <w:name w:val="footnote reference"/>
    <w:basedOn w:val="Fuentedeprrafopredeter"/>
    <w:uiPriority w:val="99"/>
    <w:semiHidden/>
    <w:rsid w:val="00BB3E3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893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TEMA, S.A.</dc:creator>
  <cp:keywords/>
  <dc:description/>
  <cp:lastModifiedBy>Maya Camacho Mojica</cp:lastModifiedBy>
  <cp:revision>2</cp:revision>
  <cp:lastPrinted>2015-11-26T09:41:00Z</cp:lastPrinted>
  <dcterms:created xsi:type="dcterms:W3CDTF">2023-06-14T12:54:00Z</dcterms:created>
  <dcterms:modified xsi:type="dcterms:W3CDTF">2023-06-14T12:54:00Z</dcterms:modified>
</cp:coreProperties>
</file>